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DC" w:rsidRDefault="00A217DC" w:rsidP="00A217D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  <w:r w:rsidRPr="0048289C"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  <w:t xml:space="preserve">ПРОГРАММА </w:t>
      </w: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8"/>
          <w:szCs w:val="28"/>
          <w:lang w:eastAsia="ru-RU"/>
        </w:rPr>
      </w:pPr>
      <w:r w:rsidRPr="0048289C"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  <w:t>повышения квалификации</w:t>
      </w: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  <w:r w:rsidRPr="0048289C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ru-RU"/>
        </w:rPr>
        <w:t>«РЕСТАВРАЦИЯ И КОНСЕРВАЦИЯ АРХЕОЛОГИЧЕСКИХ И ЭТНОГРАФИЧЕСКИХ НАХОДОК ИЗ МЕДНЫХ СПЛАВОВ</w:t>
      </w:r>
      <w:r w:rsidRPr="0048289C">
        <w:rPr>
          <w:rFonts w:ascii="Times New Roman" w:eastAsia="Times New Roman" w:hAnsi="Times New Roman" w:cs="Arial"/>
          <w:bCs/>
          <w:color w:val="000000"/>
          <w:kern w:val="32"/>
          <w:sz w:val="28"/>
          <w:szCs w:val="28"/>
          <w:lang w:eastAsia="ru-RU"/>
        </w:rPr>
        <w:t>»</w:t>
      </w: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A217DC" w:rsidRPr="0048289C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Default="001776A7" w:rsidP="00A217DC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</w:pPr>
    </w:p>
    <w:p w:rsidR="001776A7" w:rsidRPr="001776A7" w:rsidRDefault="001776A7" w:rsidP="001776A7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jc w:val="center"/>
        <w:rPr>
          <w:rFonts w:ascii="Times New Roman" w:eastAsia="Times New Roman" w:hAnsi="Times New Roman" w:cs="Arial"/>
          <w:bCs/>
          <w:color w:val="000000"/>
          <w:kern w:val="32"/>
          <w:sz w:val="24"/>
          <w:szCs w:val="26"/>
          <w:lang w:eastAsia="ru-RU"/>
        </w:rPr>
      </w:pPr>
      <w:r w:rsidRPr="001776A7">
        <w:rPr>
          <w:rFonts w:ascii="Times New Roman" w:eastAsia="Times New Roman" w:hAnsi="Times New Roman" w:cs="Arial"/>
          <w:bCs/>
          <w:color w:val="000000"/>
          <w:kern w:val="32"/>
          <w:sz w:val="24"/>
          <w:szCs w:val="26"/>
          <w:lang w:eastAsia="ru-RU"/>
        </w:rPr>
        <w:t>Астана 2015 г.</w:t>
      </w:r>
    </w:p>
    <w:p w:rsidR="00A217DC" w:rsidRPr="006F06CE" w:rsidRDefault="00A217DC" w:rsidP="001776A7">
      <w:pPr>
        <w:tabs>
          <w:tab w:val="left" w:pos="1199"/>
        </w:tabs>
        <w:autoSpaceDE w:val="0"/>
        <w:autoSpaceDN w:val="0"/>
        <w:adjustRightInd w:val="0"/>
        <w:spacing w:after="0" w:line="240" w:lineRule="auto"/>
        <w:ind w:left="720" w:hanging="66"/>
        <w:jc w:val="center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  <w:r w:rsidRPr="0048289C">
        <w:rPr>
          <w:rFonts w:ascii="Times New Roman" w:eastAsia="Times New Roman" w:hAnsi="Times New Roman" w:cs="Arial"/>
          <w:bCs/>
          <w:color w:val="000000"/>
          <w:kern w:val="32"/>
          <w:sz w:val="28"/>
          <w:szCs w:val="26"/>
          <w:lang w:eastAsia="ru-RU"/>
        </w:rPr>
        <w:br w:type="page"/>
      </w:r>
      <w:r w:rsidRPr="006F06CE"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  <w:lastRenderedPageBreak/>
        <w:t>1. ЦЕЛИ И ЗАДАЧИ ПРОГРАММЫ</w:t>
      </w:r>
    </w:p>
    <w:p w:rsidR="00A217DC" w:rsidRPr="006F06CE" w:rsidRDefault="00A217DC" w:rsidP="00A217D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ab/>
        <w:t>Целью программы является выработка навыков, призванных способствовать сохранению культурного наследия, представленного в археологических и этнографических памятниках. Курс призван сформировать у слушателей представления о характере и причинах разрушений движимых археологических и этнографических памятников из металла, а также умение правильно оценить степень разрушения находок, найти оптимальный способ их реставрации и консервации, обеспечить надлежащие условия их дальнейшего хранения, опираясь на теоретические знания и практический опыт, полученные в процессе обучения.</w:t>
      </w:r>
    </w:p>
    <w:p w:rsidR="00A217DC" w:rsidRPr="006F06CE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Задачи программы:</w:t>
      </w:r>
    </w:p>
    <w:p w:rsidR="00A217DC" w:rsidRPr="006F06CE" w:rsidRDefault="00A217DC" w:rsidP="00A217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Ознакомить слушателей с особенностями коррозии археологических и этнографических находок из медных сплавов,</w:t>
      </w:r>
    </w:p>
    <w:p w:rsidR="00A217DC" w:rsidRPr="006F06CE" w:rsidRDefault="00A217DC" w:rsidP="00A217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Научить оценивать состояние сохранности археологических и этнографических объектов из медных сплавов и выбрать оптимальный способ их обработки,</w:t>
      </w:r>
    </w:p>
    <w:p w:rsidR="00A217DC" w:rsidRPr="006F06CE" w:rsidRDefault="00A217DC" w:rsidP="00A217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Научить подбирать и использовать материалы для реставрации и консервации бронзовых и латунных предметов,</w:t>
      </w:r>
    </w:p>
    <w:p w:rsidR="00A217DC" w:rsidRPr="006F06CE" w:rsidRDefault="00A217DC" w:rsidP="00A217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Помочь в освоении практических навыков и приемов реставрации и консервации предметов из медных сплавов,</w:t>
      </w:r>
    </w:p>
    <w:p w:rsidR="00A217DC" w:rsidRPr="006F06CE" w:rsidRDefault="00A217DC" w:rsidP="00A217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Ознакомить слушателей с современными требованиями и подходами к реставрации археологических и этнографических находок,</w:t>
      </w:r>
    </w:p>
    <w:p w:rsidR="00A217DC" w:rsidRPr="006F06CE" w:rsidRDefault="00A217DC" w:rsidP="00A217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Научить применять на практике полученные во время курса знания и навыки.</w:t>
      </w:r>
    </w:p>
    <w:p w:rsidR="00A217DC" w:rsidRPr="006F06CE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1"/>
        </w:numPr>
        <w:tabs>
          <w:tab w:val="left" w:pos="1199"/>
        </w:tabs>
        <w:overflowPunct w:val="0"/>
        <w:autoSpaceDE w:val="0"/>
        <w:autoSpaceDN w:val="0"/>
        <w:adjustRightInd w:val="0"/>
        <w:spacing w:after="0" w:line="240" w:lineRule="auto"/>
        <w:ind w:firstLine="10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ЦЕЛЕВАЯ АУДИТОРИЯ</w:t>
      </w:r>
    </w:p>
    <w:p w:rsidR="00A217DC" w:rsidRPr="006F06CE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firstLine="644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Программа предназначена для реставраторов, археологов, этнографов, хранителей музеев и других лиц, занимающихся археологическими раскопками, камеральной обработкой, реставрацией и хранением археологических и этнографических находок.</w:t>
      </w:r>
    </w:p>
    <w:p w:rsidR="00A217DC" w:rsidRPr="006F06CE" w:rsidRDefault="00A217DC" w:rsidP="00A217DC">
      <w:pPr>
        <w:tabs>
          <w:tab w:val="left" w:pos="1199"/>
        </w:tabs>
        <w:spacing w:after="0" w:line="240" w:lineRule="auto"/>
        <w:ind w:left="644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1"/>
        </w:numPr>
        <w:tabs>
          <w:tab w:val="left" w:pos="1199"/>
        </w:tabs>
        <w:overflowPunct w:val="0"/>
        <w:autoSpaceDE w:val="0"/>
        <w:autoSpaceDN w:val="0"/>
        <w:adjustRightInd w:val="0"/>
        <w:spacing w:after="0" w:line="240" w:lineRule="auto"/>
        <w:ind w:firstLine="10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КОМПЕТЕНЦИИ, ФОРМИРУЕМЫЕ В ПРОЦЕССЕ ОСВОЕНИЯ ПРОГРАММЫ</w:t>
      </w:r>
    </w:p>
    <w:p w:rsidR="00A217DC" w:rsidRPr="006F06CE" w:rsidRDefault="00A217DC" w:rsidP="00A217DC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ab/>
        <w:t>В процессе освоения программы формируются следующие предметно-специализированные компетенции:</w:t>
      </w: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ab/>
      </w:r>
    </w:p>
    <w:p w:rsidR="00A217DC" w:rsidRPr="006F06CE" w:rsidRDefault="00A217DC" w:rsidP="00A217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иметь теоретические представления о свойствах археологических и этнографических находок из медных сплавов и возможных путях их разрушения;</w:t>
      </w:r>
    </w:p>
    <w:p w:rsidR="00A217DC" w:rsidRPr="006F06CE" w:rsidRDefault="00A217DC" w:rsidP="00A217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иметь теоретические представления о современных методах реставрации и реставрационных материалах;</w:t>
      </w:r>
    </w:p>
    <w:p w:rsidR="00A217DC" w:rsidRPr="006F06CE" w:rsidRDefault="00A217DC" w:rsidP="00A217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уметь оценивать состояние сохранности археологических и этнографических находок;</w:t>
      </w:r>
    </w:p>
    <w:p w:rsidR="00A217DC" w:rsidRPr="006F06CE" w:rsidRDefault="00A217DC" w:rsidP="00A217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уметь выбрать и применить на практике научно обоснованные методы реставрации и консервации археологических и этнографических находок;</w:t>
      </w:r>
    </w:p>
    <w:p w:rsidR="00A217DC" w:rsidRPr="006F06CE" w:rsidRDefault="00A217DC" w:rsidP="00A217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иметь базовые знания по правилам учета и хранения музейных коллекций и уметь получить необходимую информацию по всем нововведениям в данной сфере;</w:t>
      </w:r>
    </w:p>
    <w:p w:rsidR="00A217DC" w:rsidRPr="006F06CE" w:rsidRDefault="00A217DC" w:rsidP="00A217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знать, как обеспечить комплекс мер по </w:t>
      </w:r>
      <w:proofErr w:type="spellStart"/>
      <w:r w:rsidRPr="006F06CE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музеефикации</w:t>
      </w:r>
      <w:proofErr w:type="spellEnd"/>
      <w:r w:rsidRPr="006F06CE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раскопанных объектов, призванный способствовать наилучшему сохранению  памятников.</w:t>
      </w:r>
    </w:p>
    <w:p w:rsidR="00A217DC" w:rsidRPr="006F06CE" w:rsidRDefault="00A217DC" w:rsidP="00A217DC">
      <w:pPr>
        <w:autoSpaceDE w:val="0"/>
        <w:autoSpaceDN w:val="0"/>
        <w:adjustRightInd w:val="0"/>
        <w:spacing w:after="0" w:line="240" w:lineRule="auto"/>
        <w:ind w:firstLine="436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autoSpaceDE w:val="0"/>
        <w:autoSpaceDN w:val="0"/>
        <w:adjustRightInd w:val="0"/>
        <w:spacing w:after="0" w:line="240" w:lineRule="auto"/>
        <w:ind w:firstLine="436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  <w:t>4. ВИДЫ ЗАНЯТИЙ, КОЛИЧЕСТВО УЧЕБНЫХ ЧАСОВ</w:t>
      </w:r>
    </w:p>
    <w:p w:rsidR="00A217DC" w:rsidRPr="0048260D" w:rsidRDefault="00A217DC" w:rsidP="00A2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3236"/>
      </w:tblGrid>
      <w:tr w:rsidR="00A217DC" w:rsidRPr="0048260D" w:rsidTr="00B047F9">
        <w:trPr>
          <w:cantSplit/>
        </w:trPr>
        <w:tc>
          <w:tcPr>
            <w:tcW w:w="5868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236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217DC" w:rsidRPr="0048260D" w:rsidTr="00B047F9">
        <w:tc>
          <w:tcPr>
            <w:tcW w:w="5868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236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16</w:t>
            </w:r>
          </w:p>
        </w:tc>
      </w:tr>
      <w:tr w:rsidR="00A217DC" w:rsidRPr="0048260D" w:rsidTr="00B047F9">
        <w:tc>
          <w:tcPr>
            <w:tcW w:w="5868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36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56</w:t>
            </w:r>
          </w:p>
        </w:tc>
      </w:tr>
      <w:tr w:rsidR="00A217DC" w:rsidRPr="0048260D" w:rsidTr="00B047F9">
        <w:trPr>
          <w:trHeight w:val="353"/>
        </w:trPr>
        <w:tc>
          <w:tcPr>
            <w:tcW w:w="5868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236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217DC" w:rsidRPr="0048260D" w:rsidTr="00B047F9">
        <w:trPr>
          <w:trHeight w:val="364"/>
        </w:trPr>
        <w:tc>
          <w:tcPr>
            <w:tcW w:w="5868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236" w:type="dxa"/>
          </w:tcPr>
          <w:p w:rsidR="00A217DC" w:rsidRPr="0048260D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60D"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72</w:t>
            </w:r>
          </w:p>
        </w:tc>
      </w:tr>
    </w:tbl>
    <w:p w:rsidR="00A217DC" w:rsidRPr="006F06CE" w:rsidRDefault="00A217DC" w:rsidP="00A2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color w:val="000000"/>
          <w:kern w:val="32"/>
          <w:sz w:val="24"/>
          <w:szCs w:val="24"/>
          <w:lang w:eastAsia="ru-RU"/>
        </w:rPr>
        <w:t>СОДЕРЖАНИЕ РАЗДЕЛОВ ПРОГРАММЫ, НАИМЕНОВАНИЕ ТЕМ ЛЕКЦИЙ И ИХ 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5604"/>
        <w:gridCol w:w="566"/>
        <w:gridCol w:w="687"/>
        <w:gridCol w:w="1292"/>
        <w:gridCol w:w="846"/>
      </w:tblGrid>
      <w:tr w:rsidR="00A217DC" w:rsidRPr="0048289C" w:rsidTr="00B047F9">
        <w:trPr>
          <w:cantSplit/>
          <w:trHeight w:val="240"/>
        </w:trPr>
        <w:tc>
          <w:tcPr>
            <w:tcW w:w="500" w:type="dxa"/>
            <w:vMerge w:val="restart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</w:t>
            </w: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604" w:type="dxa"/>
            <w:vMerge w:val="restart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Наименованиедисциплины</w:t>
            </w:r>
            <w:proofErr w:type="spellEnd"/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2545" w:type="dxa"/>
            <w:gridSpan w:val="3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работы (часов)</w:t>
            </w:r>
          </w:p>
        </w:tc>
        <w:tc>
          <w:tcPr>
            <w:tcW w:w="846" w:type="dxa"/>
            <w:vMerge w:val="restart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</w:t>
            </w: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контроля</w:t>
            </w: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знаний</w:t>
            </w:r>
          </w:p>
        </w:tc>
      </w:tr>
      <w:tr w:rsidR="00A217DC" w:rsidRPr="0048289C" w:rsidTr="00B047F9">
        <w:trPr>
          <w:cantSplit/>
          <w:trHeight w:val="240"/>
        </w:trPr>
        <w:tc>
          <w:tcPr>
            <w:tcW w:w="500" w:type="dxa"/>
            <w:vMerge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4" w:type="dxa"/>
            <w:vMerge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часов </w:t>
            </w:r>
          </w:p>
        </w:tc>
        <w:tc>
          <w:tcPr>
            <w:tcW w:w="1979" w:type="dxa"/>
            <w:gridSpan w:val="2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46" w:type="dxa"/>
            <w:vMerge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600"/>
        </w:trPr>
        <w:tc>
          <w:tcPr>
            <w:tcW w:w="500" w:type="dxa"/>
            <w:vMerge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4" w:type="dxa"/>
            <w:vMerge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846" w:type="dxa"/>
            <w:vMerge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1. </w:t>
            </w:r>
          </w:p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Предмет и задачи курса. Принципы современной реставрации. Ошибки прошлого. Этический подход настоящего. Ремонт-реставрация-реконструкция: определение границ. Исследования в реставрации.  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Металлы и сплавы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2.</w:t>
            </w: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val="en-US" w:eastAsia="ru-RU"/>
              </w:rPr>
              <w:t>l</w:t>
            </w: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Кристаллическое строение металлов. Виды сплавов. Процесс кристаллизации металлов. Дендриты и кристаллиты. Гомогенизирующий и </w:t>
            </w:r>
            <w:proofErr w:type="spellStart"/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рекристаллизационный</w:t>
            </w:r>
            <w:proofErr w:type="spellEnd"/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 отжиг. Дефекты кристаллов.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Сплавы на медной основе: состав, структура, свойства, основы технологии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253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3.</w:t>
            </w:r>
          </w:p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Коррозия металлов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A217DC" w:rsidRPr="0048289C" w:rsidTr="00B047F9">
        <w:trPr>
          <w:cantSplit/>
          <w:trHeight w:val="271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3.1. </w:t>
            </w:r>
          </w:p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Определение коррозии. Факторы коррозии. Формы коррозии. Особенности археологической коррозии. Процесс минерализации. Понятие активной коррозии.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487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Особенности коррозии сплавов на медной основе. Сохранность археологических бронз.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Методы реставрации сплавов на медной основе</w:t>
            </w:r>
          </w:p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color w:val="000000"/>
                <w:kern w:val="3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4.1. 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Диагностика и описание сохранности. Реставрационная документация, паспорт реставрации.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Механическая расчистка и выявление изображения. Очистка растворителями. Химическая очистка. Стабилизация активной коррозии. Консервация. Склейка. </w:t>
            </w:r>
            <w:proofErr w:type="gramStart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Укрепляющая</w:t>
            </w:r>
            <w:proofErr w:type="gramEnd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мастиковка</w:t>
            </w:r>
            <w:proofErr w:type="spellEnd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 и восполнение утрат. Дублирование и монтаж на основу. </w:t>
            </w:r>
            <w:proofErr w:type="spellStart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Тонирование</w:t>
            </w:r>
            <w:proofErr w:type="spellEnd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. Матирование поверхности.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5.</w:t>
            </w:r>
          </w:p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proofErr w:type="gramStart"/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Музейные</w:t>
            </w:r>
            <w:proofErr w:type="gramEnd"/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 учет и хранение археологических находок.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Нормативно-правовая база учета и хранения музейных ценностей. Особенности учета музейных находок. Особенности хранения и экспонирования археологических находок, </w:t>
            </w:r>
            <w:proofErr w:type="spellStart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климатконтроль</w:t>
            </w:r>
            <w:proofErr w:type="spellEnd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. Передача экспонатов на временное хранение, особенности оформления документации и правила транспортировки.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 xml:space="preserve">Особенности реставрационной </w:t>
            </w:r>
            <w:proofErr w:type="spellStart"/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фотофиксации</w:t>
            </w:r>
            <w:proofErr w:type="spellEnd"/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6.1. </w:t>
            </w: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Подготовка предметов к </w:t>
            </w:r>
            <w:proofErr w:type="spellStart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фотофиксации</w:t>
            </w:r>
            <w:proofErr w:type="spellEnd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 xml:space="preserve">. Оборудование. Параметры съемки. Распространенные ошибки при </w:t>
            </w:r>
            <w:proofErr w:type="spellStart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фотофиксации</w:t>
            </w:r>
            <w:proofErr w:type="spellEnd"/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  <w:t>Итоговый экзамен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28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</w:t>
            </w:r>
          </w:p>
        </w:tc>
      </w:tr>
      <w:tr w:rsidR="00A217DC" w:rsidRPr="0048289C" w:rsidTr="00B047F9">
        <w:trPr>
          <w:cantSplit/>
          <w:trHeight w:val="310"/>
        </w:trPr>
        <w:tc>
          <w:tcPr>
            <w:tcW w:w="500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2" w:type="dxa"/>
          </w:tcPr>
          <w:p w:rsidR="00A217DC" w:rsidRPr="0048289C" w:rsidRDefault="00A217DC" w:rsidP="00B047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48289C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6" w:type="dxa"/>
          </w:tcPr>
          <w:p w:rsidR="00A217DC" w:rsidRPr="0048289C" w:rsidRDefault="00A217DC" w:rsidP="00B04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17DC" w:rsidRPr="00D31D2A" w:rsidRDefault="00A217DC" w:rsidP="00A21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>ТЕМАТИКА И ФОРМЫ ИНДИВИДУАЛЬНОЙ РАБОТЫ</w:t>
      </w:r>
    </w:p>
    <w:p w:rsidR="00A217DC" w:rsidRPr="006F06CE" w:rsidRDefault="00A217DC" w:rsidP="00A217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 по темам лекций и практических занятий.</w:t>
      </w:r>
    </w:p>
    <w:p w:rsidR="00A217DC" w:rsidRPr="006F06CE" w:rsidRDefault="00A217DC" w:rsidP="00A217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 по итоговой аттестации, освоения дисциплины слушателями на уровне знаний, умений и навыков.</w:t>
      </w:r>
    </w:p>
    <w:p w:rsidR="00A217DC" w:rsidRPr="006F06CE" w:rsidRDefault="00A217DC" w:rsidP="00A217D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>ОПИСАНИЕ СРЕДСТВ И МЕТОДОВ ОЦЕНИВАНИЯ КАЧЕСТВА ОСВОЕНИЯ ПРОГРАММЫ</w:t>
      </w:r>
    </w:p>
    <w:p w:rsidR="00A217DC" w:rsidRPr="006F06CE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DC" w:rsidRPr="006F06CE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Успешному усвоению материала программы способствует тестовый контроль по теоретическим разделам, формирование реставрационных навыков при непосредственной работе с археологическими находками из бронзы, самостоятельная работа обучающихся с учебно-методическими комплексами, предложенными организаторами повышения квалификации, и итоговый выпускной экзамен в виде тестирования.</w:t>
      </w:r>
    </w:p>
    <w:p w:rsidR="00A217DC" w:rsidRPr="006F06CE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 ПРОГРАММЫ</w:t>
      </w:r>
    </w:p>
    <w:p w:rsidR="00A217DC" w:rsidRPr="006F06CE" w:rsidRDefault="00A217DC" w:rsidP="00A217DC">
      <w:pPr>
        <w:spacing w:after="0" w:line="240" w:lineRule="auto"/>
        <w:ind w:left="426"/>
        <w:jc w:val="both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8.1 Учебные пособия</w:t>
      </w:r>
    </w:p>
    <w:p w:rsidR="00A217DC" w:rsidRPr="0048260D" w:rsidRDefault="00A217DC" w:rsidP="00A217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Жуков А.П., Малахов А.И., Основы металловедения и теории коррозии</w:t>
      </w:r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. М., 1991.</w:t>
      </w:r>
    </w:p>
    <w:p w:rsidR="00A217DC" w:rsidRPr="0048260D" w:rsidRDefault="00A217DC" w:rsidP="00A217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proofErr w:type="spell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Колотыркин</w:t>
      </w:r>
      <w:proofErr w:type="spell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Я.М., Металл и коррозия</w:t>
      </w:r>
      <w:proofErr w:type="gram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., </w:t>
      </w:r>
      <w:proofErr w:type="gram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Владимир, «Металлургия», 1985.</w:t>
      </w:r>
    </w:p>
    <w:p w:rsidR="00A217DC" w:rsidRPr="0048260D" w:rsidRDefault="00A217DC" w:rsidP="00A217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proofErr w:type="spell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Минжулин</w:t>
      </w:r>
      <w:proofErr w:type="spell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А.И., Введение в реставрацию металла. Учебно-методическое пособие. М., 1992.</w:t>
      </w:r>
    </w:p>
    <w:p w:rsidR="00A217DC" w:rsidRPr="0048260D" w:rsidRDefault="00A217DC" w:rsidP="00A217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Никитин М.К., Мельникова Е.П., Химия в реставрации. СПб, 2002.</w:t>
      </w:r>
    </w:p>
    <w:p w:rsidR="00A217DC" w:rsidRPr="0048260D" w:rsidRDefault="00A217DC" w:rsidP="00A217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proofErr w:type="spell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Улиг</w:t>
      </w:r>
      <w:proofErr w:type="spell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Г.Г., Реви Р.У., Коррозия и борьба с ней. Введение в коррозионную науку и технику</w:t>
      </w:r>
      <w:proofErr w:type="gram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., </w:t>
      </w:r>
      <w:proofErr w:type="gram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Л., 1989.</w:t>
      </w:r>
    </w:p>
    <w:p w:rsidR="00A217DC" w:rsidRPr="0048260D" w:rsidRDefault="00A217DC" w:rsidP="00A217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proofErr w:type="spell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Шемаханская</w:t>
      </w:r>
      <w:proofErr w:type="spell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М.С., Реставрация металла. Методические рекомендации</w:t>
      </w:r>
      <w:proofErr w:type="gram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., </w:t>
      </w:r>
      <w:proofErr w:type="gram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М, 1989.</w:t>
      </w:r>
    </w:p>
    <w:p w:rsidR="00A217DC" w:rsidRPr="0048260D" w:rsidRDefault="00A217DC" w:rsidP="00A217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val="en-US" w:eastAsia="ru-RU"/>
        </w:rPr>
      </w:pPr>
      <w:proofErr w:type="spellStart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val="en-US" w:eastAsia="ru-RU"/>
        </w:rPr>
        <w:t>Cronyn</w:t>
      </w:r>
      <w:proofErr w:type="spellEnd"/>
      <w:r w:rsidRPr="0048260D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val="en-US" w:eastAsia="ru-RU"/>
        </w:rPr>
        <w:t xml:space="preserve"> J.M., The elements of archaeological conservation, L. and NY. , 1990.</w:t>
      </w:r>
    </w:p>
    <w:p w:rsidR="00A217DC" w:rsidRPr="00D31D2A" w:rsidRDefault="00A217DC" w:rsidP="00A217DC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60D">
        <w:rPr>
          <w:rFonts w:ascii="Times New Roman" w:eastAsia="Times New Roman" w:hAnsi="Times New Roman"/>
          <w:sz w:val="24"/>
          <w:szCs w:val="24"/>
          <w:lang w:eastAsia="ru-RU"/>
        </w:rPr>
        <w:t>8.2 Рекомендуемая литература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Волкова Н.В., Д.Н. Емельянов, Д.С.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Таловин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Задачи консервации археологических находок.// Тезисы VI Международной научно-практической конференции «Сохранение, исследование, консервация, реставрация и экспертиза музейных памятников» 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.1, Киев,2008, с. 106-110. 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Геттенс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Р.Дж., Продукты коррозии древних металлических предметов.// Сообщения ВЦНИИЛКР,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прилож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, 1966, вып.3.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М.Г., Нечаев А.В., Иванов Д.М., Нечаев А.А., Защита меди и ее сплавов от атмосферной коррозии. // Проблемы реставрации памятников культуры и искусства в музеях Урала. Материалы </w:t>
      </w: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региональной научно-практической конференции, посвященной 10-летию Эрмитажной школы реставрации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Екатеринбург, 2007, с.101-103.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Калиш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М.К., Рецидивная коррозия древних бронзовых предметов.// Сообщения ВЦНИЛКР 17-</w:t>
      </w:r>
      <w:smartTag w:uri="urn:schemas-microsoft-com:office:smarttags" w:element="metricconverter">
        <w:smartTagPr>
          <w:attr w:name="ProductID" w:val="18, М"/>
        </w:smartTagPr>
        <w:r w:rsidRPr="00D31D2A">
          <w:rPr>
            <w:rFonts w:ascii="Times New Roman" w:eastAsia="Times New Roman" w:hAnsi="Times New Roman"/>
            <w:sz w:val="24"/>
            <w:szCs w:val="24"/>
            <w:lang w:eastAsia="ru-RU"/>
          </w:rPr>
          <w:t>18, М</w:t>
        </w:r>
      </w:smartTag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. 1966, с.72-97.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Калиш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М.К., Изменение древних бронз вследствие почвенной коррозии.// Сообщения ВЦНИИЛКР, 1969, № 24-25, с.125-148.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Калиш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М.К., Естественные защитные пленки на медных сплавах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М., 1971.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Шемаханская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М.С., Проблемы реставрации археологического металла.//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Информцентр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проблемам культуры и искусства, М. 1981, с.8-11.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Шемаханская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М.С.,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Леменовский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 Д.А., Лакшин Б.В., Брусова Г.П., Новые методы в реставрации археологического металла.// Вестник реставрации музейных ценностей, № 1, 2008, с.19-21.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Burgess H., The use of chelating agents in conservation treatment.// 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paper conservator, vol.15, 1991, p.36-44.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Elia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Dowsett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Adriaens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use of alcoholic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carb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xylic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acid solutions for the deposition of protective coatings on copper.// Metal-2010, Charleston, 2010, p.144-150.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Fox G.L., A note on the use of alkaline dithionite for treating ancient bronze artifacts.// Studies in conservation, 40, 1995, p.139-142.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Horie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C.V., Materials for conservation. Organic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consolidants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adhesives and coatings.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Butterworths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, 1987.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João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Cura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D’Ars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F. Junior, Vito M. De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Bellis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Vanessa F.C.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Lins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Luiz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A.C. Souza, A Note on the products of the reaction of AMT with bronze and with three corrosion products of bronze.// Studies in conservation, 52, 2007, p.147-153.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MacLeod I.D., Conservation of corroded copper alloys: a comparison of new and traditional methods for removing chloride ions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./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/ Studies in conservation, 32, 1987, p.25-40.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Masschelein-Kleiner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L., Ancient binding media, vanishes and adhesives. Rome, 1995.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Pollard A.M., Thomas R.G., Williams P.A., Mineralogical changes arising from the use of aqueous sodium carbonate solutions for the treatment of archaeological copper objects.// Studies of conservation, 35, 1990, p.148-152.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Scott D.A., Copper and bronze in art. Corrosion, colorants, 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conservation.,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Los Angeles, 2002.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Sharma V.C.,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Kharbade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B.V., Sodium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tripolyphosphate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a safe sequestering agent for the treatment of excavated copper objects.// Studies in conservation, 39, 1994, p.39-44.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Sharma, V.S.,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Uma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Shankar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Lal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Nair M.V., Zinc dust treatment – an effective method for the control of bronze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desease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on excavated objects.// Studies in conservation 40, 1995, p.110-119.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Shedlosky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T., A.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Huovinen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D.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Webster,G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Bierwagen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,  Development and evaluation of removable protective coatings on bronze.//  Metal 04 : proceedings of the International Conference on Metals Conservation., Canberra, 2004, p.400-414.</w:t>
      </w:r>
    </w:p>
    <w:p w:rsidR="00A217DC" w:rsidRPr="00D31D2A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Torraca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G.,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Solubulity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solvents for conservation problems. Rome, 1990.</w:t>
      </w:r>
    </w:p>
    <w:p w:rsidR="00A217DC" w:rsidRPr="0048260D" w:rsidRDefault="00A217DC" w:rsidP="00A217D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Weisser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T.D., The use of sodium carbonate as pre-treatment for difficult-to-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stabilise</w:t>
      </w:r>
      <w:proofErr w:type="spell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bronzes.// Recent advances in the conservation and analysis of 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artifacts.,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1987. </w:t>
      </w:r>
      <w:proofErr w:type="gramStart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p.105-108</w:t>
      </w:r>
      <w:proofErr w:type="gramEnd"/>
      <w:r w:rsidRPr="00D31D2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A217DC" w:rsidRPr="0048260D" w:rsidRDefault="00A217DC" w:rsidP="00A217DC">
      <w:p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217DC" w:rsidRPr="001776A7" w:rsidRDefault="00A217DC" w:rsidP="00A217D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1776A7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8.3  </w:t>
      </w: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Презентации</w:t>
      </w:r>
    </w:p>
    <w:p w:rsidR="00A217DC" w:rsidRPr="00A217DC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A217DC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1  </w:t>
      </w:r>
      <w:proofErr w:type="spellStart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Строениеметалловикоррозиясплавовнамеднойоснове</w:t>
      </w:r>
      <w:proofErr w:type="spellEnd"/>
      <w:r w:rsidRPr="00A217DC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(90 </w:t>
      </w: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слайдов</w:t>
      </w:r>
      <w:r w:rsidRPr="00A217DC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). </w:t>
      </w: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Разработчик</w:t>
      </w:r>
      <w:r w:rsidRPr="00A217DC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– </w:t>
      </w:r>
      <w:proofErr w:type="spellStart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БуршневаС</w:t>
      </w:r>
      <w:r w:rsidRPr="00A217DC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.</w:t>
      </w: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Г</w:t>
      </w:r>
      <w:proofErr w:type="spellEnd"/>
      <w:r w:rsidRPr="00A217DC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.</w:t>
      </w:r>
    </w:p>
    <w:p w:rsidR="00A217DC" w:rsidRPr="006F06CE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A217DC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2. </w:t>
      </w: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Особенности коррозии археологической бронзы (25 слайдов). Разработчик – </w:t>
      </w:r>
      <w:proofErr w:type="spellStart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Буршнева</w:t>
      </w:r>
      <w:proofErr w:type="spellEnd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С.Г.</w:t>
      </w:r>
    </w:p>
    <w:p w:rsidR="00A217DC" w:rsidRPr="006F06CE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3. Методы реставрации и консервации археологической и этнографической бронзы (30 слайдов). Разработчик – </w:t>
      </w:r>
      <w:proofErr w:type="spellStart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Буршнева</w:t>
      </w:r>
      <w:proofErr w:type="spellEnd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С.Г.</w:t>
      </w:r>
    </w:p>
    <w:p w:rsidR="00A217DC" w:rsidRPr="006F06CE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Все слайды представлены в электронном виде.</w:t>
      </w:r>
    </w:p>
    <w:p w:rsidR="00A217DC" w:rsidRPr="006F06CE" w:rsidRDefault="00A217DC" w:rsidP="00A217DC">
      <w:pPr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      8.4  Средства обеспечения освоения дисциплины</w:t>
      </w:r>
    </w:p>
    <w:p w:rsidR="00A217DC" w:rsidRPr="006F06CE" w:rsidRDefault="00A217DC" w:rsidP="00A217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Программный продукт </w:t>
      </w:r>
      <w:proofErr w:type="spellStart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Microsoft</w:t>
      </w:r>
      <w:proofErr w:type="spellEnd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 </w:t>
      </w:r>
      <w:proofErr w:type="spellStart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Office</w:t>
      </w:r>
      <w:proofErr w:type="spellEnd"/>
    </w:p>
    <w:p w:rsidR="00A217DC" w:rsidRPr="006F06CE" w:rsidRDefault="00A217DC" w:rsidP="00A217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Сеть </w:t>
      </w:r>
      <w:proofErr w:type="spellStart"/>
      <w:r w:rsidRPr="006F06CE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>Internet</w:t>
      </w:r>
      <w:proofErr w:type="spellEnd"/>
    </w:p>
    <w:p w:rsidR="00A217DC" w:rsidRPr="006F06CE" w:rsidRDefault="00A217DC" w:rsidP="00A217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МАТЕРИАЛЬНО-ТЕХНИЧЕСКОЕ  ОБЕСПЕЧЕНИЕ ПРОГРАММЫ</w:t>
      </w:r>
    </w:p>
    <w:p w:rsidR="00A217DC" w:rsidRPr="006F06CE" w:rsidRDefault="00A217DC" w:rsidP="00A217DC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DC" w:rsidRPr="006F06CE" w:rsidRDefault="00A217DC" w:rsidP="00A217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 xml:space="preserve">- Аудитория с </w:t>
      </w:r>
      <w:proofErr w:type="spellStart"/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>мультимедийным</w:t>
      </w:r>
      <w:proofErr w:type="spellEnd"/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</w:t>
      </w:r>
    </w:p>
    <w:p w:rsidR="00A217DC" w:rsidRPr="006F06CE" w:rsidRDefault="00A217DC" w:rsidP="00A217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>- Реставрационные мастерские СОКМ</w:t>
      </w:r>
    </w:p>
    <w:p w:rsidR="00A217DC" w:rsidRPr="006F06CE" w:rsidRDefault="00A217DC" w:rsidP="00A217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217DC" w:rsidRPr="006F06CE" w:rsidRDefault="00A217DC" w:rsidP="00A217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ПРОФЕССОРСКО–ПРЕПОДАВАТЕЛЬСКИЙ СОСТАВ</w:t>
      </w:r>
    </w:p>
    <w:p w:rsidR="00A217DC" w:rsidRPr="00D31D2A" w:rsidRDefault="00A217DC" w:rsidP="00A217DC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187"/>
        <w:gridCol w:w="3692"/>
        <w:gridCol w:w="3335"/>
      </w:tblGrid>
      <w:tr w:rsidR="00A217DC" w:rsidRPr="00D31D2A" w:rsidTr="00B047F9">
        <w:trPr>
          <w:jc w:val="center"/>
        </w:trPr>
        <w:tc>
          <w:tcPr>
            <w:tcW w:w="0" w:type="auto"/>
          </w:tcPr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</w:tcPr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>Должность,</w:t>
            </w:r>
          </w:p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0" w:type="auto"/>
          </w:tcPr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A217DC" w:rsidRPr="00D31D2A" w:rsidTr="00B047F9">
        <w:trPr>
          <w:jc w:val="center"/>
        </w:trPr>
        <w:tc>
          <w:tcPr>
            <w:tcW w:w="0" w:type="auto"/>
          </w:tcPr>
          <w:p w:rsidR="00A217DC" w:rsidRPr="00D31D2A" w:rsidRDefault="00A217DC" w:rsidP="00A217D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proofErr w:type="spellStart"/>
            <w:r w:rsidRPr="00D31D2A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  <w:t>Буршнева</w:t>
            </w:r>
            <w:proofErr w:type="spellEnd"/>
            <w:r w:rsidRPr="00D31D2A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0" w:type="auto"/>
          </w:tcPr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r w:rsidRPr="00D31D2A"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  <w:t>Художник-реставратор произведений из металла высшей категории</w:t>
            </w:r>
          </w:p>
        </w:tc>
        <w:tc>
          <w:tcPr>
            <w:tcW w:w="0" w:type="auto"/>
          </w:tcPr>
          <w:p w:rsidR="00A217DC" w:rsidRPr="00D31D2A" w:rsidRDefault="00A217DC" w:rsidP="00B047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Cs/>
                <w:color w:val="000000"/>
                <w:spacing w:val="-3"/>
                <w:kern w:val="32"/>
                <w:sz w:val="24"/>
                <w:szCs w:val="24"/>
                <w:lang w:eastAsia="ru-RU"/>
              </w:rPr>
            </w:pPr>
            <w:r w:rsidRPr="00D31D2A"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  <w:t>ВХНРЦ им. академика И.Э.Грабаря, Вологодский филиал</w:t>
            </w:r>
          </w:p>
        </w:tc>
      </w:tr>
    </w:tbl>
    <w:p w:rsidR="00A217DC" w:rsidRPr="00D31D2A" w:rsidRDefault="00A217DC" w:rsidP="00A217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7DC" w:rsidRPr="00D31D2A" w:rsidRDefault="00A217DC" w:rsidP="00A217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7DC" w:rsidRPr="00D31D2A" w:rsidRDefault="00A217DC" w:rsidP="00A21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D2A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Программу составила</w:t>
      </w:r>
    </w:p>
    <w:p w:rsidR="00A217DC" w:rsidRPr="00D31D2A" w:rsidRDefault="00A217DC" w:rsidP="00A21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DC" w:rsidRPr="00D31D2A" w:rsidRDefault="00A217DC" w:rsidP="00A21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Художник-реставратор </w:t>
      </w:r>
    </w:p>
    <w:p w:rsidR="00A217DC" w:rsidRPr="00D31D2A" w:rsidRDefault="00A217DC" w:rsidP="00A217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Произведений из металла</w:t>
      </w:r>
    </w:p>
    <w:p w:rsidR="00A217DC" w:rsidRPr="00D31D2A" w:rsidRDefault="00A217DC" w:rsidP="00A21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Высшей категории</w:t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С.Г. </w:t>
      </w:r>
      <w:proofErr w:type="spellStart"/>
      <w:r w:rsidRPr="00D31D2A">
        <w:rPr>
          <w:rFonts w:ascii="Times New Roman" w:eastAsia="Times New Roman" w:hAnsi="Times New Roman"/>
          <w:sz w:val="24"/>
          <w:szCs w:val="24"/>
          <w:lang w:eastAsia="ru-RU"/>
        </w:rPr>
        <w:t>Буршнева</w:t>
      </w:r>
      <w:proofErr w:type="spellEnd"/>
    </w:p>
    <w:p w:rsidR="00614A21" w:rsidRDefault="00614A21"/>
    <w:sectPr w:rsidR="00614A21" w:rsidSect="00A217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A7" w:rsidRDefault="001776A7" w:rsidP="001776A7">
      <w:pPr>
        <w:spacing w:after="0" w:line="240" w:lineRule="auto"/>
      </w:pPr>
      <w:r>
        <w:separator/>
      </w:r>
    </w:p>
  </w:endnote>
  <w:endnote w:type="continuationSeparator" w:id="1">
    <w:p w:rsidR="001776A7" w:rsidRDefault="001776A7" w:rsidP="0017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A7" w:rsidRDefault="001776A7" w:rsidP="001776A7">
      <w:pPr>
        <w:spacing w:after="0" w:line="240" w:lineRule="auto"/>
      </w:pPr>
      <w:r>
        <w:separator/>
      </w:r>
    </w:p>
  </w:footnote>
  <w:footnote w:type="continuationSeparator" w:id="1">
    <w:p w:rsidR="001776A7" w:rsidRDefault="001776A7" w:rsidP="0017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0B"/>
    <w:multiLevelType w:val="hybridMultilevel"/>
    <w:tmpl w:val="9CC6FFCA"/>
    <w:lvl w:ilvl="0" w:tplc="B686E0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B85620"/>
    <w:multiLevelType w:val="multilevel"/>
    <w:tmpl w:val="433CDBE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B22A07"/>
    <w:multiLevelType w:val="hybridMultilevel"/>
    <w:tmpl w:val="CAE2E636"/>
    <w:lvl w:ilvl="0" w:tplc="5720C52C">
      <w:start w:val="11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C33DBE"/>
    <w:multiLevelType w:val="hybridMultilevel"/>
    <w:tmpl w:val="BC58ED18"/>
    <w:lvl w:ilvl="0" w:tplc="B9BA9526">
      <w:numFmt w:val="bullet"/>
      <w:lvlText w:val="•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71BB"/>
    <w:multiLevelType w:val="hybridMultilevel"/>
    <w:tmpl w:val="EC76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05C96"/>
    <w:multiLevelType w:val="hybridMultilevel"/>
    <w:tmpl w:val="41A2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A6402"/>
    <w:multiLevelType w:val="hybridMultilevel"/>
    <w:tmpl w:val="E0F80D6A"/>
    <w:lvl w:ilvl="0" w:tplc="2E8AECC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C502D8"/>
    <w:multiLevelType w:val="hybridMultilevel"/>
    <w:tmpl w:val="6CAC8AAE"/>
    <w:lvl w:ilvl="0" w:tplc="B686E0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63E5D"/>
    <w:multiLevelType w:val="multilevel"/>
    <w:tmpl w:val="FAF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731A6E4A"/>
    <w:multiLevelType w:val="hybridMultilevel"/>
    <w:tmpl w:val="F37C9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A4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7DC"/>
    <w:rsid w:val="001776A7"/>
    <w:rsid w:val="00614A21"/>
    <w:rsid w:val="00653FF6"/>
    <w:rsid w:val="007F36C8"/>
    <w:rsid w:val="00A2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6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7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6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dcterms:created xsi:type="dcterms:W3CDTF">2015-06-26T03:31:00Z</dcterms:created>
  <dcterms:modified xsi:type="dcterms:W3CDTF">2015-07-15T06:15:00Z</dcterms:modified>
</cp:coreProperties>
</file>